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5E01" w14:textId="77777777" w:rsidR="002A69A9" w:rsidRPr="002A69A9" w:rsidRDefault="002A69A9" w:rsidP="002A69A9">
      <w:pPr>
        <w:pStyle w:val="Heading2"/>
      </w:pPr>
      <w:r w:rsidRPr="002A69A9">
        <w:t>Indication</w:t>
      </w:r>
    </w:p>
    <w:p w14:paraId="36161D36" w14:textId="77777777" w:rsidR="002A69A9" w:rsidRPr="002A69A9" w:rsidRDefault="002A69A9" w:rsidP="00844CFD">
      <w:pPr>
        <w:pStyle w:val="ListParagraph"/>
        <w:numPr>
          <w:ilvl w:val="0"/>
          <w:numId w:val="1"/>
        </w:numPr>
        <w:rPr>
          <w:sz w:val="24"/>
          <w:szCs w:val="24"/>
        </w:rPr>
      </w:pPr>
      <w:r w:rsidRPr="002A69A9">
        <w:rPr>
          <w:sz w:val="24"/>
          <w:szCs w:val="24"/>
        </w:rPr>
        <w:t xml:space="preserve">Agomelatine is licensed for the treatment of major depressive episodes in adults.  It acts as an agonist at </w:t>
      </w:r>
      <w:proofErr w:type="spellStart"/>
      <w:r w:rsidRPr="002A69A9">
        <w:rPr>
          <w:sz w:val="24"/>
          <w:szCs w:val="24"/>
        </w:rPr>
        <w:t>melatonergic</w:t>
      </w:r>
      <w:proofErr w:type="spellEnd"/>
      <w:r w:rsidRPr="002A69A9">
        <w:rPr>
          <w:sz w:val="24"/>
          <w:szCs w:val="24"/>
        </w:rPr>
        <w:t xml:space="preserve"> MT1 and MT2 receptors and an antagonist at serotonin 5-HT</w:t>
      </w:r>
      <w:r w:rsidRPr="002A69A9">
        <w:rPr>
          <w:sz w:val="24"/>
          <w:szCs w:val="24"/>
          <w:vertAlign w:val="subscript"/>
        </w:rPr>
        <w:t>2C</w:t>
      </w:r>
      <w:r w:rsidRPr="002A69A9">
        <w:rPr>
          <w:sz w:val="24"/>
          <w:szCs w:val="24"/>
        </w:rPr>
        <w:t xml:space="preserve"> receptors. </w:t>
      </w:r>
      <w:r w:rsidR="00844CFD" w:rsidRPr="00844CFD">
        <w:rPr>
          <w:sz w:val="24"/>
          <w:szCs w:val="24"/>
        </w:rPr>
        <w:t>Agomelatine increases noradrenaline and dopamine release in the frontal cortex however has no influence on the extracellular levels of serotonin, or noradrenaline or dopamine uptake.</w:t>
      </w:r>
    </w:p>
    <w:p w14:paraId="096B7A16" w14:textId="77777777" w:rsidR="002A69A9" w:rsidRPr="002A69A9" w:rsidRDefault="002A69A9" w:rsidP="002A69A9">
      <w:pPr>
        <w:pStyle w:val="Heading2"/>
      </w:pPr>
      <w:r w:rsidRPr="002A69A9">
        <w:t>Prescribing Information</w:t>
      </w:r>
    </w:p>
    <w:p w14:paraId="7B374CD2" w14:textId="77777777" w:rsidR="002A69A9" w:rsidRPr="002A69A9" w:rsidRDefault="002A69A9" w:rsidP="002A69A9">
      <w:pPr>
        <w:pStyle w:val="ListParagraph"/>
        <w:numPr>
          <w:ilvl w:val="0"/>
          <w:numId w:val="1"/>
        </w:numPr>
        <w:rPr>
          <w:sz w:val="24"/>
          <w:szCs w:val="24"/>
        </w:rPr>
      </w:pPr>
      <w:r w:rsidRPr="002A69A9">
        <w:rPr>
          <w:sz w:val="24"/>
          <w:szCs w:val="24"/>
        </w:rPr>
        <w:t>Agomelatine is available as 25mg tablets</w:t>
      </w:r>
    </w:p>
    <w:p w14:paraId="138B0249" w14:textId="77777777" w:rsidR="002A69A9" w:rsidRPr="002A69A9" w:rsidRDefault="002A69A9" w:rsidP="002A69A9">
      <w:pPr>
        <w:pStyle w:val="ListParagraph"/>
        <w:numPr>
          <w:ilvl w:val="0"/>
          <w:numId w:val="1"/>
        </w:numPr>
        <w:rPr>
          <w:sz w:val="24"/>
          <w:szCs w:val="24"/>
        </w:rPr>
      </w:pPr>
      <w:r w:rsidRPr="002A69A9">
        <w:rPr>
          <w:sz w:val="24"/>
          <w:szCs w:val="24"/>
        </w:rPr>
        <w:t>The licensed dose is 25mg daily taken orally at bedtime.  After two weeks of treatment, if there is no improvement of symptoms, the dose may be increased to 50mg at bedtime.</w:t>
      </w:r>
    </w:p>
    <w:p w14:paraId="56E376DF" w14:textId="77777777" w:rsidR="00F56CBD" w:rsidRDefault="002A69A9" w:rsidP="00D40381">
      <w:pPr>
        <w:pStyle w:val="ListParagraph"/>
        <w:numPr>
          <w:ilvl w:val="0"/>
          <w:numId w:val="1"/>
        </w:numPr>
        <w:rPr>
          <w:sz w:val="24"/>
          <w:szCs w:val="24"/>
        </w:rPr>
      </w:pPr>
      <w:r w:rsidRPr="00F56CBD">
        <w:rPr>
          <w:sz w:val="24"/>
          <w:szCs w:val="24"/>
        </w:rPr>
        <w:t>Agomelatine is contraindicated in hepatic impairment or transaminases exceeding three times upper limit of normal, where potent CYP1A2 inhibitors (e.g. fluvoxamine, ciprofloxacin) are prescribed and in those with hypersensitivity to the active ingredient or any excipient.  Patients with rare hereditary problems of galactose intolerance, the Lapp lactase deficiency or glucose-galactose malabsorption should not take agomelatine.</w:t>
      </w:r>
    </w:p>
    <w:p w14:paraId="6F54265F" w14:textId="77777777" w:rsidR="002A69A9" w:rsidRPr="00F56CBD" w:rsidRDefault="002A69A9" w:rsidP="00D40381">
      <w:pPr>
        <w:pStyle w:val="ListParagraph"/>
        <w:numPr>
          <w:ilvl w:val="0"/>
          <w:numId w:val="1"/>
        </w:numPr>
        <w:rPr>
          <w:sz w:val="24"/>
          <w:szCs w:val="24"/>
        </w:rPr>
      </w:pPr>
      <w:r w:rsidRPr="00F56CBD">
        <w:rPr>
          <w:sz w:val="24"/>
          <w:szCs w:val="24"/>
        </w:rPr>
        <w:t xml:space="preserve">The efficacy and safety of agomelatine has been established in elderly depressed patients under the age of 75 years.  No effect has been documented in those over the age of 75 years and so agomelatine should not be used in this age group.  No dose adjustment is required in relation to age.  Safety and efficacy </w:t>
      </w:r>
      <w:proofErr w:type="gramStart"/>
      <w:r w:rsidRPr="00F56CBD">
        <w:rPr>
          <w:sz w:val="24"/>
          <w:szCs w:val="24"/>
        </w:rPr>
        <w:t>has</w:t>
      </w:r>
      <w:proofErr w:type="gramEnd"/>
      <w:r w:rsidRPr="00F56CBD">
        <w:rPr>
          <w:sz w:val="24"/>
          <w:szCs w:val="24"/>
        </w:rPr>
        <w:t xml:space="preserve"> not been established for treatment of major depressive episodes in elderly patients with dementia.</w:t>
      </w:r>
    </w:p>
    <w:p w14:paraId="0A50F0CB" w14:textId="77777777" w:rsidR="002A69A9" w:rsidRPr="002A69A9" w:rsidRDefault="002A69A9" w:rsidP="00844CFD">
      <w:pPr>
        <w:pStyle w:val="ListParagraph"/>
        <w:numPr>
          <w:ilvl w:val="0"/>
          <w:numId w:val="1"/>
        </w:numPr>
        <w:rPr>
          <w:sz w:val="24"/>
          <w:szCs w:val="24"/>
        </w:rPr>
      </w:pPr>
      <w:r w:rsidRPr="002A69A9">
        <w:rPr>
          <w:sz w:val="24"/>
          <w:szCs w:val="24"/>
        </w:rPr>
        <w:t xml:space="preserve">Agomelatine should be used with caution in moderate to severe renal impairment or a history of </w:t>
      </w:r>
      <w:r w:rsidR="00844CFD" w:rsidRPr="00844CFD">
        <w:rPr>
          <w:sz w:val="24"/>
          <w:szCs w:val="24"/>
        </w:rPr>
        <w:t xml:space="preserve">bipolar disorder, mania </w:t>
      </w:r>
      <w:r w:rsidRPr="002A69A9">
        <w:rPr>
          <w:sz w:val="24"/>
          <w:szCs w:val="24"/>
        </w:rPr>
        <w:t>or hypomania.  Patients with a history of suicide-related events or those exhibiting a significant degree of suicidal ideation prior to commencement of treatment are known to be at greater risk of suicidal thoughts or suicide attempts, and should receive careful monitoring during treatment</w:t>
      </w:r>
    </w:p>
    <w:p w14:paraId="5E324CF9" w14:textId="77777777" w:rsidR="002A69A9" w:rsidRPr="002A69A9" w:rsidRDefault="002A69A9" w:rsidP="002A69A9">
      <w:pPr>
        <w:pStyle w:val="ListParagraph"/>
        <w:numPr>
          <w:ilvl w:val="0"/>
          <w:numId w:val="1"/>
        </w:numPr>
        <w:rPr>
          <w:sz w:val="24"/>
          <w:szCs w:val="24"/>
        </w:rPr>
      </w:pPr>
      <w:r w:rsidRPr="002A69A9">
        <w:rPr>
          <w:sz w:val="24"/>
          <w:szCs w:val="24"/>
        </w:rPr>
        <w:t xml:space="preserve">Caution should be exercised when prescribing in patients with hepatic injury risk factors e.g. overweight, obese, non-alcoholic fatty liver disease, diabetes, substantial alcohol intake or </w:t>
      </w:r>
      <w:proofErr w:type="spellStart"/>
      <w:r w:rsidRPr="002A69A9">
        <w:rPr>
          <w:sz w:val="24"/>
          <w:szCs w:val="24"/>
        </w:rPr>
        <w:t>comcomitant</w:t>
      </w:r>
      <w:proofErr w:type="spellEnd"/>
      <w:r w:rsidRPr="002A69A9">
        <w:rPr>
          <w:sz w:val="24"/>
          <w:szCs w:val="24"/>
        </w:rPr>
        <w:t xml:space="preserve"> medicinal products associated with risk of hepatic injury</w:t>
      </w:r>
    </w:p>
    <w:p w14:paraId="4ABFD342" w14:textId="77777777" w:rsidR="002A69A9" w:rsidRPr="002A69A9" w:rsidRDefault="002A69A9" w:rsidP="00844CFD">
      <w:pPr>
        <w:pStyle w:val="ListParagraph"/>
        <w:numPr>
          <w:ilvl w:val="0"/>
          <w:numId w:val="1"/>
        </w:numPr>
        <w:rPr>
          <w:sz w:val="24"/>
          <w:szCs w:val="24"/>
        </w:rPr>
      </w:pPr>
      <w:r w:rsidRPr="002A69A9">
        <w:rPr>
          <w:sz w:val="24"/>
          <w:szCs w:val="24"/>
        </w:rPr>
        <w:t xml:space="preserve">Caution should be exercised when </w:t>
      </w:r>
      <w:r w:rsidR="00844CFD" w:rsidRPr="00844CFD">
        <w:rPr>
          <w:sz w:val="24"/>
          <w:szCs w:val="24"/>
        </w:rPr>
        <w:t xml:space="preserve">agomelatine </w:t>
      </w:r>
      <w:r w:rsidRPr="002A69A9">
        <w:rPr>
          <w:sz w:val="24"/>
          <w:szCs w:val="24"/>
        </w:rPr>
        <w:t>is administered to patients with pretreatment elevated transaminases (&gt;the upper limit of the normal ranges and ≤3 times the upper limit of the normal range).</w:t>
      </w:r>
    </w:p>
    <w:p w14:paraId="3C186CE9" w14:textId="77777777" w:rsidR="002A69A9" w:rsidRPr="002A69A9" w:rsidRDefault="002A69A9" w:rsidP="002A69A9">
      <w:pPr>
        <w:pStyle w:val="ListParagraph"/>
        <w:numPr>
          <w:ilvl w:val="0"/>
          <w:numId w:val="1"/>
        </w:numPr>
        <w:rPr>
          <w:sz w:val="24"/>
          <w:szCs w:val="24"/>
        </w:rPr>
      </w:pPr>
      <w:r w:rsidRPr="002A69A9">
        <w:rPr>
          <w:sz w:val="24"/>
          <w:szCs w:val="24"/>
        </w:rPr>
        <w:t xml:space="preserve">Caution should be exercised when prescribing Agomelatine with moderate CYP1A2 inhibitors (e.g. propranolol, grepafloxacin, </w:t>
      </w:r>
      <w:proofErr w:type="spellStart"/>
      <w:r w:rsidRPr="002A69A9">
        <w:rPr>
          <w:sz w:val="24"/>
          <w:szCs w:val="24"/>
        </w:rPr>
        <w:t>enoxacin</w:t>
      </w:r>
      <w:proofErr w:type="spellEnd"/>
      <w:r w:rsidRPr="002A69A9">
        <w:rPr>
          <w:sz w:val="24"/>
          <w:szCs w:val="24"/>
        </w:rPr>
        <w:t xml:space="preserve">, oestrogens) which may result in increased exposure of agomelatine.  </w:t>
      </w:r>
    </w:p>
    <w:p w14:paraId="1016E9A2" w14:textId="77777777" w:rsidR="002A69A9" w:rsidRPr="002A69A9" w:rsidRDefault="002A69A9" w:rsidP="002A69A9">
      <w:pPr>
        <w:pStyle w:val="ListParagraph"/>
        <w:numPr>
          <w:ilvl w:val="0"/>
          <w:numId w:val="1"/>
        </w:numPr>
        <w:rPr>
          <w:sz w:val="24"/>
          <w:szCs w:val="24"/>
        </w:rPr>
      </w:pPr>
      <w:r w:rsidRPr="002A69A9">
        <w:rPr>
          <w:sz w:val="24"/>
          <w:szCs w:val="24"/>
        </w:rPr>
        <w:t>Rifampicin may decrease the levels of agomelatine.  Smoking may also reduce levels of agomelatine particularly in heavy smokers (more than 15 cigarettes per day)</w:t>
      </w:r>
    </w:p>
    <w:p w14:paraId="5A0DAE29" w14:textId="77777777" w:rsidR="002A69A9" w:rsidRPr="002A69A9" w:rsidRDefault="002A69A9" w:rsidP="002A69A9">
      <w:pPr>
        <w:pStyle w:val="ListParagraph"/>
        <w:numPr>
          <w:ilvl w:val="0"/>
          <w:numId w:val="1"/>
        </w:numPr>
        <w:rPr>
          <w:sz w:val="24"/>
          <w:szCs w:val="24"/>
        </w:rPr>
      </w:pPr>
      <w:r w:rsidRPr="002A69A9">
        <w:rPr>
          <w:sz w:val="24"/>
          <w:szCs w:val="24"/>
        </w:rPr>
        <w:lastRenderedPageBreak/>
        <w:t>Agomelatine is not recommended for use in children and adolescents below 18 years of age due to a lack of data on safety and efficacy</w:t>
      </w:r>
    </w:p>
    <w:p w14:paraId="59DF5194" w14:textId="77777777" w:rsidR="002A69A9" w:rsidRPr="002A69A9" w:rsidRDefault="002A69A9" w:rsidP="002A69A9">
      <w:pPr>
        <w:pStyle w:val="ListParagraph"/>
        <w:numPr>
          <w:ilvl w:val="0"/>
          <w:numId w:val="1"/>
        </w:numPr>
        <w:rPr>
          <w:sz w:val="24"/>
          <w:szCs w:val="24"/>
        </w:rPr>
      </w:pPr>
      <w:r w:rsidRPr="002A69A9">
        <w:rPr>
          <w:sz w:val="24"/>
          <w:szCs w:val="24"/>
        </w:rPr>
        <w:t>Depression is associated with an increased risk of suicidal thoughts, self-harm and suicide (suicide-related events). This risk persists until significant remission occurs. As improvement may not occur during the first few weeks or more of treatment, patients should be closely monitored until such improvement occurs. It is general clinical experience that the risk of suicide may increase in the early stages of recovery.</w:t>
      </w:r>
    </w:p>
    <w:p w14:paraId="6749902D" w14:textId="77777777" w:rsidR="002A69A9" w:rsidRPr="002A69A9" w:rsidRDefault="002A69A9" w:rsidP="002A69A9">
      <w:pPr>
        <w:pStyle w:val="ListParagraph"/>
        <w:numPr>
          <w:ilvl w:val="0"/>
          <w:numId w:val="1"/>
        </w:numPr>
        <w:rPr>
          <w:sz w:val="24"/>
          <w:szCs w:val="24"/>
        </w:rPr>
      </w:pPr>
      <w:r w:rsidRPr="002A69A9">
        <w:rPr>
          <w:sz w:val="24"/>
          <w:szCs w:val="24"/>
        </w:rPr>
        <w:t xml:space="preserve">Patients with a history of suicide-related events or those exhibiting a significant degree of suicidal ideation prior to commencement of treatment are known to be at greater risk of suicidal thoughts or suicide </w:t>
      </w:r>
      <w:proofErr w:type="gramStart"/>
      <w:r w:rsidRPr="002A69A9">
        <w:rPr>
          <w:sz w:val="24"/>
          <w:szCs w:val="24"/>
        </w:rPr>
        <w:t>attempts, and</w:t>
      </w:r>
      <w:proofErr w:type="gramEnd"/>
      <w:r w:rsidRPr="002A69A9">
        <w:rPr>
          <w:sz w:val="24"/>
          <w:szCs w:val="24"/>
        </w:rPr>
        <w:t xml:space="preserve"> should receive careful monitoring during treatment.</w:t>
      </w:r>
    </w:p>
    <w:p w14:paraId="0C2D0064" w14:textId="77777777" w:rsidR="002A69A9" w:rsidRPr="002A69A9" w:rsidRDefault="002A69A9" w:rsidP="00844CFD">
      <w:pPr>
        <w:pStyle w:val="ListParagraph"/>
        <w:numPr>
          <w:ilvl w:val="0"/>
          <w:numId w:val="1"/>
        </w:numPr>
        <w:rPr>
          <w:sz w:val="24"/>
          <w:szCs w:val="24"/>
        </w:rPr>
      </w:pPr>
      <w:r w:rsidRPr="002A69A9">
        <w:rPr>
          <w:sz w:val="24"/>
          <w:szCs w:val="24"/>
        </w:rPr>
        <w:t xml:space="preserve">Common side effects (incidence &gt; 1% in clinical trials) include headache, dizziness, somnolence, insomnia, </w:t>
      </w:r>
      <w:r w:rsidR="00F56CBD">
        <w:rPr>
          <w:sz w:val="24"/>
          <w:szCs w:val="24"/>
        </w:rPr>
        <w:t xml:space="preserve">abnormal dreams, </w:t>
      </w:r>
      <w:r w:rsidRPr="002A69A9">
        <w:rPr>
          <w:sz w:val="24"/>
          <w:szCs w:val="24"/>
        </w:rPr>
        <w:t>migraine, nausea, vomiting, diarrhoea, constipation, abdominal pain, hyperhidrosis, back pain, fatigue, elevation of liver function tests, anxiety</w:t>
      </w:r>
      <w:r w:rsidR="00F56CBD">
        <w:rPr>
          <w:sz w:val="24"/>
          <w:szCs w:val="24"/>
        </w:rPr>
        <w:t>, weight gain</w:t>
      </w:r>
      <w:r w:rsidRPr="002A69A9">
        <w:rPr>
          <w:sz w:val="24"/>
          <w:szCs w:val="24"/>
        </w:rPr>
        <w:t>.</w:t>
      </w:r>
      <w:r w:rsidR="00844CFD">
        <w:rPr>
          <w:sz w:val="24"/>
          <w:szCs w:val="24"/>
        </w:rPr>
        <w:t xml:space="preserve"> </w:t>
      </w:r>
      <w:r w:rsidR="00844CFD" w:rsidRPr="00844CFD">
        <w:rPr>
          <w:sz w:val="24"/>
          <w:szCs w:val="24"/>
        </w:rPr>
        <w:t xml:space="preserve">See Summary of Product Characteristics (SPC) </w:t>
      </w:r>
      <w:hyperlink r:id="rId11" w:history="1">
        <w:r w:rsidR="00844CFD" w:rsidRPr="00844CFD">
          <w:rPr>
            <w:rStyle w:val="Hyperlink"/>
            <w:sz w:val="24"/>
            <w:szCs w:val="24"/>
          </w:rPr>
          <w:t>www.medicines.org.uk</w:t>
        </w:r>
      </w:hyperlink>
      <w:r w:rsidR="00844CFD" w:rsidRPr="00844CFD">
        <w:rPr>
          <w:sz w:val="24"/>
          <w:szCs w:val="24"/>
        </w:rPr>
        <w:t xml:space="preserve"> for full details of adverse effects</w:t>
      </w:r>
    </w:p>
    <w:p w14:paraId="3574C157" w14:textId="77777777" w:rsidR="002A69A9" w:rsidRPr="002A69A9" w:rsidRDefault="002A69A9" w:rsidP="002A69A9">
      <w:pPr>
        <w:pStyle w:val="ListParagraph"/>
        <w:numPr>
          <w:ilvl w:val="0"/>
          <w:numId w:val="1"/>
        </w:numPr>
        <w:rPr>
          <w:sz w:val="24"/>
          <w:szCs w:val="24"/>
        </w:rPr>
      </w:pPr>
      <w:r w:rsidRPr="002A69A9">
        <w:rPr>
          <w:sz w:val="24"/>
          <w:szCs w:val="24"/>
        </w:rPr>
        <w:t>No dosage tapering is needed on treatment discontinuation</w:t>
      </w:r>
    </w:p>
    <w:p w14:paraId="5B29E53F" w14:textId="77777777" w:rsidR="002A69A9" w:rsidRPr="002A69A9" w:rsidRDefault="00844CFD" w:rsidP="00844CFD">
      <w:pPr>
        <w:pStyle w:val="ListParagraph"/>
        <w:numPr>
          <w:ilvl w:val="0"/>
          <w:numId w:val="1"/>
        </w:numPr>
        <w:rPr>
          <w:sz w:val="24"/>
          <w:szCs w:val="24"/>
        </w:rPr>
      </w:pPr>
      <w:r w:rsidRPr="00844CFD">
        <w:rPr>
          <w:sz w:val="24"/>
          <w:szCs w:val="24"/>
        </w:rPr>
        <w:t>There is limited experience of use in pregnancy and therefore as a precautionary measure it is preferable to avoid the use of agomelatine during pregnancy</w:t>
      </w:r>
    </w:p>
    <w:p w14:paraId="714C7607" w14:textId="77777777" w:rsidR="002A69A9" w:rsidRPr="002A69A9" w:rsidRDefault="002A69A9" w:rsidP="002A69A9">
      <w:pPr>
        <w:pStyle w:val="ListParagraph"/>
        <w:numPr>
          <w:ilvl w:val="0"/>
          <w:numId w:val="1"/>
        </w:numPr>
        <w:rPr>
          <w:sz w:val="24"/>
          <w:szCs w:val="24"/>
        </w:rPr>
      </w:pPr>
      <w:r w:rsidRPr="002A69A9">
        <w:rPr>
          <w:sz w:val="24"/>
          <w:szCs w:val="24"/>
        </w:rPr>
        <w:t>It is not known where agomelatine or its metabolites are excreted in breastmilk</w:t>
      </w:r>
    </w:p>
    <w:p w14:paraId="1D58EA13" w14:textId="77777777" w:rsidR="002A69A9" w:rsidRPr="002A69A9" w:rsidRDefault="002A69A9" w:rsidP="002A69A9">
      <w:pPr>
        <w:pStyle w:val="ListParagraph"/>
        <w:numPr>
          <w:ilvl w:val="0"/>
          <w:numId w:val="1"/>
        </w:numPr>
        <w:rPr>
          <w:sz w:val="24"/>
          <w:szCs w:val="24"/>
        </w:rPr>
      </w:pPr>
      <w:r w:rsidRPr="002A69A9">
        <w:rPr>
          <w:sz w:val="24"/>
          <w:szCs w:val="24"/>
        </w:rPr>
        <w:t>There is limited experience of agomelatine in overdose.</w:t>
      </w:r>
    </w:p>
    <w:p w14:paraId="7718945F" w14:textId="77777777" w:rsidR="002A69A9" w:rsidRPr="002A69A9" w:rsidRDefault="002A69A9" w:rsidP="002A69A9">
      <w:pPr>
        <w:pStyle w:val="Heading2"/>
      </w:pPr>
      <w:r w:rsidRPr="002A69A9">
        <w:t>Monitoring Requirements</w:t>
      </w:r>
    </w:p>
    <w:p w14:paraId="0500E691" w14:textId="77777777" w:rsidR="00847623" w:rsidRPr="00847623" w:rsidRDefault="002A69A9" w:rsidP="00847623">
      <w:r w:rsidRPr="00847623">
        <w:rPr>
          <w:sz w:val="24"/>
          <w:szCs w:val="24"/>
        </w:rPr>
        <w:t>In clinical studies, elevations of serum transaminases (&gt;3 times the upper limit of the normal range) have been observed in patients treated with agomelatine particularly on a 50 mg dose The serum transaminases usually returned to normal levels on discontinuation of treatment.</w:t>
      </w:r>
      <w:r w:rsidR="00847623" w:rsidRPr="00847623">
        <w:rPr>
          <w:sz w:val="24"/>
          <w:szCs w:val="24"/>
        </w:rPr>
        <w:t xml:space="preserve">  </w:t>
      </w:r>
    </w:p>
    <w:p w14:paraId="0E9A0B71" w14:textId="77777777" w:rsidR="002A69A9" w:rsidRPr="002A69A9" w:rsidRDefault="002A69A9" w:rsidP="002A69A9">
      <w:pPr>
        <w:rPr>
          <w:b/>
          <w:sz w:val="24"/>
          <w:szCs w:val="24"/>
        </w:rPr>
      </w:pPr>
      <w:r w:rsidRPr="002A69A9">
        <w:rPr>
          <w:b/>
          <w:sz w:val="24"/>
          <w:szCs w:val="24"/>
        </w:rPr>
        <w:t xml:space="preserve">Patients must be monitored for symptoms suggesting hepatic dysfunction.  Liver function tests must be performed in all patients: </w:t>
      </w:r>
      <w:r w:rsidR="00847623">
        <w:rPr>
          <w:b/>
          <w:sz w:val="24"/>
          <w:szCs w:val="24"/>
        </w:rPr>
        <w:t>before starting</w:t>
      </w:r>
      <w:r w:rsidRPr="002A69A9">
        <w:rPr>
          <w:b/>
          <w:sz w:val="24"/>
          <w:szCs w:val="24"/>
        </w:rPr>
        <w:t xml:space="preserve"> treatment, and then after</w:t>
      </w:r>
      <w:r w:rsidR="00847623">
        <w:rPr>
          <w:b/>
          <w:sz w:val="24"/>
          <w:szCs w:val="24"/>
        </w:rPr>
        <w:t xml:space="preserve"> around</w:t>
      </w:r>
      <w:r w:rsidRPr="002A69A9">
        <w:rPr>
          <w:b/>
          <w:sz w:val="24"/>
          <w:szCs w:val="24"/>
        </w:rPr>
        <w:t xml:space="preserve"> three weeks, six weeks, twelve weeks and </w:t>
      </w:r>
      <w:proofErr w:type="gramStart"/>
      <w:r w:rsidRPr="002A69A9">
        <w:rPr>
          <w:b/>
          <w:sz w:val="24"/>
          <w:szCs w:val="24"/>
        </w:rPr>
        <w:t>twenty four</w:t>
      </w:r>
      <w:proofErr w:type="gramEnd"/>
      <w:r w:rsidRPr="002A69A9">
        <w:rPr>
          <w:b/>
          <w:sz w:val="24"/>
          <w:szCs w:val="24"/>
        </w:rPr>
        <w:t xml:space="preserve"> weeks.  Thereafter liver function tests should be checked when clinically indicated.  </w:t>
      </w:r>
    </w:p>
    <w:p w14:paraId="46B59B75" w14:textId="77777777" w:rsidR="002A69A9" w:rsidRPr="002A69A9" w:rsidRDefault="002A69A9" w:rsidP="002A69A9">
      <w:pPr>
        <w:rPr>
          <w:b/>
          <w:sz w:val="24"/>
          <w:szCs w:val="24"/>
        </w:rPr>
      </w:pPr>
      <w:r w:rsidRPr="002A69A9">
        <w:rPr>
          <w:b/>
          <w:sz w:val="24"/>
          <w:szCs w:val="24"/>
        </w:rPr>
        <w:t xml:space="preserve">After dose increases, liver function tests should again be performed at three, six, twelve and </w:t>
      </w:r>
      <w:proofErr w:type="gramStart"/>
      <w:r w:rsidRPr="002A69A9">
        <w:rPr>
          <w:b/>
          <w:sz w:val="24"/>
          <w:szCs w:val="24"/>
        </w:rPr>
        <w:t>twenty four</w:t>
      </w:r>
      <w:proofErr w:type="gramEnd"/>
      <w:r w:rsidRPr="002A69A9">
        <w:rPr>
          <w:b/>
          <w:sz w:val="24"/>
          <w:szCs w:val="24"/>
        </w:rPr>
        <w:t xml:space="preserve"> weeks. </w:t>
      </w:r>
    </w:p>
    <w:p w14:paraId="4019B431" w14:textId="77777777" w:rsidR="00844CFD" w:rsidRDefault="00844CFD">
      <w:pPr>
        <w:rPr>
          <w:b/>
          <w:sz w:val="24"/>
          <w:szCs w:val="24"/>
        </w:rPr>
      </w:pPr>
      <w:r>
        <w:rPr>
          <w:b/>
          <w:sz w:val="24"/>
          <w:szCs w:val="24"/>
        </w:rPr>
        <w:br w:type="page"/>
      </w:r>
    </w:p>
    <w:p w14:paraId="352289BA" w14:textId="77777777" w:rsidR="002A69A9" w:rsidRPr="002A69A9" w:rsidRDefault="002A69A9" w:rsidP="002A69A9">
      <w:pPr>
        <w:rPr>
          <w:sz w:val="24"/>
          <w:szCs w:val="24"/>
        </w:rPr>
      </w:pPr>
      <w:r w:rsidRPr="002A69A9">
        <w:rPr>
          <w:b/>
          <w:sz w:val="24"/>
          <w:szCs w:val="24"/>
        </w:rPr>
        <w:lastRenderedPageBreak/>
        <w:t xml:space="preserve"> Any patient who develops increased serum transaminases should have his/her liver function tests repeated within 48 hours. Therapy should be discontinued if the increase in serum transaminases exceeds 3</w:t>
      </w:r>
      <w:r w:rsidR="00847623">
        <w:rPr>
          <w:b/>
          <w:sz w:val="24"/>
          <w:szCs w:val="24"/>
        </w:rPr>
        <w:t xml:space="preserve"> </w:t>
      </w:r>
      <w:r w:rsidRPr="002A69A9">
        <w:rPr>
          <w:b/>
          <w:sz w:val="24"/>
          <w:szCs w:val="24"/>
        </w:rPr>
        <w:t>X upper limit of normal and liver function tests should be performed regularly until serum transaminases return to normal.  Treatment should be discontinued immediately in any patient who develops signs or symptoms of potential liver injury e.g. dark urine, light coloured stools, yellow skin/eyes, pain in the upper right belly, sustained new-onset and unexplained fatigue.</w:t>
      </w:r>
      <w:r w:rsidRPr="002A69A9">
        <w:rPr>
          <w:sz w:val="24"/>
          <w:szCs w:val="24"/>
        </w:rPr>
        <w:t xml:space="preserve"> </w:t>
      </w:r>
    </w:p>
    <w:p w14:paraId="090A7AD1" w14:textId="77777777" w:rsidR="002A69A9" w:rsidRPr="002A69A9" w:rsidRDefault="002A69A9" w:rsidP="002A69A9">
      <w:pPr>
        <w:rPr>
          <w:sz w:val="24"/>
          <w:szCs w:val="24"/>
        </w:rPr>
      </w:pPr>
    </w:p>
    <w:p w14:paraId="72165A05" w14:textId="77777777" w:rsidR="002A69A9" w:rsidRPr="002A69A9" w:rsidRDefault="002A69A9" w:rsidP="002A69A9">
      <w:pPr>
        <w:pStyle w:val="Heading2"/>
      </w:pPr>
      <w:r w:rsidRPr="002A69A9">
        <w:t>Cost Comparison</w:t>
      </w:r>
    </w:p>
    <w:tbl>
      <w:tblPr>
        <w:tblStyle w:val="TableGrid"/>
        <w:tblW w:w="9415" w:type="dxa"/>
        <w:tblLook w:val="04A0" w:firstRow="1" w:lastRow="0" w:firstColumn="1" w:lastColumn="0" w:noHBand="0" w:noVBand="1"/>
      </w:tblPr>
      <w:tblGrid>
        <w:gridCol w:w="4673"/>
        <w:gridCol w:w="4742"/>
      </w:tblGrid>
      <w:tr w:rsidR="002A69A9" w14:paraId="605FF697" w14:textId="77777777" w:rsidTr="00ED7A90">
        <w:trPr>
          <w:trHeight w:val="302"/>
        </w:trPr>
        <w:tc>
          <w:tcPr>
            <w:tcW w:w="4673" w:type="dxa"/>
            <w:vAlign w:val="bottom"/>
          </w:tcPr>
          <w:p w14:paraId="5E887790" w14:textId="77777777" w:rsidR="002A69A9" w:rsidRDefault="00ED7A90" w:rsidP="00ED7A90">
            <w:pPr>
              <w:rPr>
                <w:sz w:val="24"/>
                <w:szCs w:val="24"/>
              </w:rPr>
            </w:pPr>
            <w:r w:rsidRPr="002A69A9">
              <w:rPr>
                <w:sz w:val="24"/>
                <w:szCs w:val="24"/>
              </w:rPr>
              <w:t>Drug Dose regimen</w:t>
            </w:r>
          </w:p>
        </w:tc>
        <w:tc>
          <w:tcPr>
            <w:tcW w:w="4742" w:type="dxa"/>
          </w:tcPr>
          <w:p w14:paraId="345FB1FE" w14:textId="77777777" w:rsidR="00ED7A90" w:rsidRDefault="00ED7A90" w:rsidP="002A69A9">
            <w:pPr>
              <w:rPr>
                <w:sz w:val="24"/>
                <w:szCs w:val="24"/>
              </w:rPr>
            </w:pPr>
            <w:r w:rsidRPr="002A69A9">
              <w:rPr>
                <w:sz w:val="24"/>
                <w:szCs w:val="24"/>
              </w:rPr>
              <w:t>Cost per year (excluding liquids formulations)</w:t>
            </w:r>
          </w:p>
          <w:p w14:paraId="563C3F94" w14:textId="77777777" w:rsidR="002A69A9" w:rsidRDefault="002A69A9" w:rsidP="00ED7A90">
            <w:pPr>
              <w:rPr>
                <w:sz w:val="24"/>
                <w:szCs w:val="24"/>
              </w:rPr>
            </w:pPr>
            <w:r w:rsidRPr="002A69A9">
              <w:rPr>
                <w:sz w:val="24"/>
                <w:szCs w:val="24"/>
              </w:rPr>
              <w:t>£ per month</w:t>
            </w:r>
          </w:p>
        </w:tc>
      </w:tr>
      <w:tr w:rsidR="002A69A9" w:rsidRPr="00995F63" w14:paraId="58C90912" w14:textId="77777777" w:rsidTr="00ED7A90">
        <w:trPr>
          <w:trHeight w:val="302"/>
        </w:trPr>
        <w:tc>
          <w:tcPr>
            <w:tcW w:w="4673" w:type="dxa"/>
          </w:tcPr>
          <w:p w14:paraId="5C83F949" w14:textId="77777777" w:rsidR="002A69A9" w:rsidRPr="00995F63" w:rsidRDefault="002A69A9" w:rsidP="002A69A9">
            <w:pPr>
              <w:rPr>
                <w:b/>
                <w:sz w:val="24"/>
                <w:szCs w:val="24"/>
              </w:rPr>
            </w:pPr>
            <w:r w:rsidRPr="00995F63">
              <w:rPr>
                <w:b/>
                <w:sz w:val="24"/>
                <w:szCs w:val="24"/>
              </w:rPr>
              <w:t>Agomelatine 25 to 50mg daily</w:t>
            </w:r>
          </w:p>
        </w:tc>
        <w:tc>
          <w:tcPr>
            <w:tcW w:w="4742" w:type="dxa"/>
          </w:tcPr>
          <w:p w14:paraId="4DFF5E14" w14:textId="77777777" w:rsidR="002A69A9" w:rsidRPr="00995F63" w:rsidRDefault="00847623" w:rsidP="00F12DC4">
            <w:pPr>
              <w:rPr>
                <w:b/>
                <w:sz w:val="24"/>
                <w:szCs w:val="24"/>
              </w:rPr>
            </w:pPr>
            <w:r>
              <w:rPr>
                <w:b/>
                <w:sz w:val="24"/>
                <w:szCs w:val="24"/>
              </w:rPr>
              <w:t>£</w:t>
            </w:r>
            <w:r w:rsidR="00F12DC4">
              <w:rPr>
                <w:b/>
                <w:sz w:val="24"/>
                <w:szCs w:val="24"/>
              </w:rPr>
              <w:t>15.20- 30.40</w:t>
            </w:r>
          </w:p>
        </w:tc>
      </w:tr>
      <w:tr w:rsidR="002A69A9" w14:paraId="574DFA18" w14:textId="77777777" w:rsidTr="00ED7A90">
        <w:trPr>
          <w:trHeight w:val="290"/>
        </w:trPr>
        <w:tc>
          <w:tcPr>
            <w:tcW w:w="4673" w:type="dxa"/>
          </w:tcPr>
          <w:p w14:paraId="336DCF48" w14:textId="77777777" w:rsidR="002A69A9" w:rsidRDefault="002A69A9" w:rsidP="002A69A9">
            <w:pPr>
              <w:rPr>
                <w:sz w:val="24"/>
                <w:szCs w:val="24"/>
              </w:rPr>
            </w:pPr>
            <w:r w:rsidRPr="002A69A9">
              <w:rPr>
                <w:sz w:val="24"/>
                <w:szCs w:val="24"/>
              </w:rPr>
              <w:t>Duloxetine 60 to 120mg daily</w:t>
            </w:r>
          </w:p>
        </w:tc>
        <w:tc>
          <w:tcPr>
            <w:tcW w:w="4742" w:type="dxa"/>
          </w:tcPr>
          <w:p w14:paraId="16B5CB89" w14:textId="77777777" w:rsidR="002A69A9" w:rsidRDefault="00847623" w:rsidP="00F12DC4">
            <w:pPr>
              <w:rPr>
                <w:sz w:val="24"/>
                <w:szCs w:val="24"/>
              </w:rPr>
            </w:pPr>
            <w:r>
              <w:rPr>
                <w:sz w:val="24"/>
                <w:szCs w:val="24"/>
              </w:rPr>
              <w:t>£</w:t>
            </w:r>
            <w:r w:rsidR="00F12DC4">
              <w:rPr>
                <w:sz w:val="24"/>
                <w:szCs w:val="24"/>
              </w:rPr>
              <w:t>1.91- £3.82</w:t>
            </w:r>
          </w:p>
        </w:tc>
      </w:tr>
      <w:tr w:rsidR="002A69A9" w14:paraId="2588B66D" w14:textId="77777777" w:rsidTr="00ED7A90">
        <w:trPr>
          <w:trHeight w:val="302"/>
        </w:trPr>
        <w:tc>
          <w:tcPr>
            <w:tcW w:w="4673" w:type="dxa"/>
          </w:tcPr>
          <w:p w14:paraId="658054D1" w14:textId="77777777" w:rsidR="002A69A9" w:rsidRDefault="002A69A9" w:rsidP="002A69A9">
            <w:pPr>
              <w:rPr>
                <w:sz w:val="24"/>
                <w:szCs w:val="24"/>
              </w:rPr>
            </w:pPr>
            <w:r w:rsidRPr="002A69A9">
              <w:rPr>
                <w:sz w:val="24"/>
                <w:szCs w:val="24"/>
              </w:rPr>
              <w:t>Venlafaxine 37.5mg to 375mg daily</w:t>
            </w:r>
          </w:p>
        </w:tc>
        <w:tc>
          <w:tcPr>
            <w:tcW w:w="4742" w:type="dxa"/>
          </w:tcPr>
          <w:p w14:paraId="0742B790" w14:textId="77777777" w:rsidR="002A69A9" w:rsidRDefault="00847623" w:rsidP="00F12DC4">
            <w:pPr>
              <w:rPr>
                <w:sz w:val="24"/>
                <w:szCs w:val="24"/>
              </w:rPr>
            </w:pPr>
            <w:r>
              <w:rPr>
                <w:sz w:val="24"/>
                <w:szCs w:val="24"/>
              </w:rPr>
              <w:t>£</w:t>
            </w:r>
            <w:r w:rsidR="00F12DC4">
              <w:rPr>
                <w:sz w:val="24"/>
                <w:szCs w:val="24"/>
              </w:rPr>
              <w:t>2.03- £28.50</w:t>
            </w:r>
          </w:p>
        </w:tc>
      </w:tr>
      <w:tr w:rsidR="002A69A9" w14:paraId="4E552817" w14:textId="77777777" w:rsidTr="00ED7A90">
        <w:trPr>
          <w:trHeight w:val="302"/>
        </w:trPr>
        <w:tc>
          <w:tcPr>
            <w:tcW w:w="4673" w:type="dxa"/>
          </w:tcPr>
          <w:p w14:paraId="08CB4666" w14:textId="77777777" w:rsidR="002A69A9" w:rsidRDefault="00995F63" w:rsidP="002A69A9">
            <w:pPr>
              <w:rPr>
                <w:sz w:val="24"/>
                <w:szCs w:val="24"/>
              </w:rPr>
            </w:pPr>
            <w:r w:rsidRPr="002A69A9">
              <w:rPr>
                <w:sz w:val="24"/>
                <w:szCs w:val="24"/>
              </w:rPr>
              <w:t>Venlafaxine XL</w:t>
            </w:r>
            <w:r w:rsidR="00844CFD">
              <w:rPr>
                <w:sz w:val="24"/>
                <w:szCs w:val="24"/>
              </w:rPr>
              <w:t xml:space="preserve"> </w:t>
            </w:r>
            <w:r w:rsidR="00844CFD" w:rsidRPr="00844CFD">
              <w:rPr>
                <w:sz w:val="24"/>
                <w:szCs w:val="24"/>
              </w:rPr>
              <w:t>tablets</w:t>
            </w:r>
            <w:r w:rsidR="000B5527">
              <w:rPr>
                <w:sz w:val="24"/>
                <w:szCs w:val="24"/>
              </w:rPr>
              <w:t xml:space="preserve"> 75 to 375</w:t>
            </w:r>
            <w:r w:rsidRPr="002A69A9">
              <w:rPr>
                <w:sz w:val="24"/>
                <w:szCs w:val="24"/>
              </w:rPr>
              <w:t>mg daily</w:t>
            </w:r>
          </w:p>
        </w:tc>
        <w:tc>
          <w:tcPr>
            <w:tcW w:w="4742" w:type="dxa"/>
          </w:tcPr>
          <w:p w14:paraId="79585F83" w14:textId="77777777" w:rsidR="002A69A9" w:rsidRDefault="000B5527" w:rsidP="00F12DC4">
            <w:pPr>
              <w:rPr>
                <w:sz w:val="24"/>
                <w:szCs w:val="24"/>
              </w:rPr>
            </w:pPr>
            <w:r>
              <w:rPr>
                <w:sz w:val="24"/>
                <w:szCs w:val="24"/>
              </w:rPr>
              <w:t>£</w:t>
            </w:r>
            <w:r w:rsidR="00F12DC4">
              <w:rPr>
                <w:sz w:val="24"/>
                <w:szCs w:val="24"/>
              </w:rPr>
              <w:t>2.56- £46.95</w:t>
            </w:r>
          </w:p>
        </w:tc>
      </w:tr>
      <w:tr w:rsidR="002A69A9" w14:paraId="394ABE61" w14:textId="77777777" w:rsidTr="00ED7A90">
        <w:trPr>
          <w:trHeight w:val="290"/>
        </w:trPr>
        <w:tc>
          <w:tcPr>
            <w:tcW w:w="4673" w:type="dxa"/>
          </w:tcPr>
          <w:p w14:paraId="33EFCBCE" w14:textId="77777777" w:rsidR="002A69A9" w:rsidRDefault="00995F63" w:rsidP="002A69A9">
            <w:pPr>
              <w:rPr>
                <w:sz w:val="24"/>
                <w:szCs w:val="24"/>
              </w:rPr>
            </w:pPr>
            <w:r w:rsidRPr="002A69A9">
              <w:rPr>
                <w:sz w:val="24"/>
                <w:szCs w:val="24"/>
              </w:rPr>
              <w:t>Citalopram 20 to 40mg daily</w:t>
            </w:r>
          </w:p>
        </w:tc>
        <w:tc>
          <w:tcPr>
            <w:tcW w:w="4742" w:type="dxa"/>
          </w:tcPr>
          <w:p w14:paraId="116A6253" w14:textId="77777777" w:rsidR="002A69A9" w:rsidRDefault="000B5527" w:rsidP="00F12DC4">
            <w:pPr>
              <w:rPr>
                <w:sz w:val="24"/>
                <w:szCs w:val="24"/>
              </w:rPr>
            </w:pPr>
            <w:r>
              <w:rPr>
                <w:sz w:val="24"/>
                <w:szCs w:val="24"/>
              </w:rPr>
              <w:t>£</w:t>
            </w:r>
            <w:r w:rsidR="00F12DC4">
              <w:rPr>
                <w:sz w:val="24"/>
                <w:szCs w:val="24"/>
              </w:rPr>
              <w:t>0.69- £0.98</w:t>
            </w:r>
          </w:p>
        </w:tc>
      </w:tr>
      <w:tr w:rsidR="002A69A9" w14:paraId="5176D9C6" w14:textId="77777777" w:rsidTr="00ED7A90">
        <w:trPr>
          <w:trHeight w:val="302"/>
        </w:trPr>
        <w:tc>
          <w:tcPr>
            <w:tcW w:w="4673" w:type="dxa"/>
          </w:tcPr>
          <w:p w14:paraId="037659DF" w14:textId="77777777" w:rsidR="002A69A9" w:rsidRDefault="00995F63" w:rsidP="002A69A9">
            <w:pPr>
              <w:rPr>
                <w:sz w:val="24"/>
                <w:szCs w:val="24"/>
              </w:rPr>
            </w:pPr>
            <w:r w:rsidRPr="002A69A9">
              <w:rPr>
                <w:sz w:val="24"/>
                <w:szCs w:val="24"/>
              </w:rPr>
              <w:t>Sertraline 50 to 200mg daily</w:t>
            </w:r>
          </w:p>
        </w:tc>
        <w:tc>
          <w:tcPr>
            <w:tcW w:w="4742" w:type="dxa"/>
          </w:tcPr>
          <w:p w14:paraId="6E627030" w14:textId="77777777" w:rsidR="002A69A9" w:rsidRDefault="000B5527" w:rsidP="00F12DC4">
            <w:pPr>
              <w:rPr>
                <w:sz w:val="24"/>
                <w:szCs w:val="24"/>
              </w:rPr>
            </w:pPr>
            <w:r>
              <w:rPr>
                <w:sz w:val="24"/>
                <w:szCs w:val="24"/>
              </w:rPr>
              <w:t>£</w:t>
            </w:r>
            <w:r w:rsidR="00F12DC4">
              <w:rPr>
                <w:sz w:val="24"/>
                <w:szCs w:val="24"/>
              </w:rPr>
              <w:t>1.02- £19.80</w:t>
            </w:r>
          </w:p>
        </w:tc>
      </w:tr>
      <w:tr w:rsidR="00995F63" w14:paraId="7A33B24A" w14:textId="77777777" w:rsidTr="00ED7A90">
        <w:trPr>
          <w:trHeight w:val="302"/>
        </w:trPr>
        <w:tc>
          <w:tcPr>
            <w:tcW w:w="4673" w:type="dxa"/>
          </w:tcPr>
          <w:p w14:paraId="578D4FFA" w14:textId="77777777" w:rsidR="00995F63" w:rsidRPr="002A69A9" w:rsidRDefault="00995F63" w:rsidP="002A69A9">
            <w:pPr>
              <w:rPr>
                <w:sz w:val="24"/>
                <w:szCs w:val="24"/>
              </w:rPr>
            </w:pPr>
            <w:r w:rsidRPr="002A69A9">
              <w:rPr>
                <w:sz w:val="24"/>
                <w:szCs w:val="24"/>
              </w:rPr>
              <w:t>Fluoxetine 20 to 60mg daily</w:t>
            </w:r>
          </w:p>
        </w:tc>
        <w:tc>
          <w:tcPr>
            <w:tcW w:w="4742" w:type="dxa"/>
          </w:tcPr>
          <w:p w14:paraId="63421BDC" w14:textId="77777777" w:rsidR="00995F63" w:rsidRPr="002A69A9" w:rsidRDefault="00F12DC4" w:rsidP="00E34E74">
            <w:pPr>
              <w:rPr>
                <w:sz w:val="24"/>
                <w:szCs w:val="24"/>
              </w:rPr>
            </w:pPr>
            <w:r>
              <w:rPr>
                <w:sz w:val="24"/>
                <w:szCs w:val="24"/>
              </w:rPr>
              <w:t>£0.80- £2.40</w:t>
            </w:r>
          </w:p>
        </w:tc>
      </w:tr>
    </w:tbl>
    <w:p w14:paraId="2C4BCC40" w14:textId="77777777" w:rsidR="002A69A9" w:rsidRPr="002A69A9" w:rsidRDefault="002A69A9" w:rsidP="002A69A9">
      <w:pPr>
        <w:rPr>
          <w:sz w:val="24"/>
          <w:szCs w:val="24"/>
        </w:rPr>
      </w:pPr>
    </w:p>
    <w:p w14:paraId="72E78764" w14:textId="77777777" w:rsidR="002A69A9" w:rsidRPr="002A69A9" w:rsidRDefault="002A69A9" w:rsidP="002A69A9">
      <w:pPr>
        <w:rPr>
          <w:sz w:val="24"/>
          <w:szCs w:val="24"/>
        </w:rPr>
      </w:pPr>
      <w:r w:rsidRPr="002A69A9">
        <w:rPr>
          <w:sz w:val="24"/>
          <w:szCs w:val="24"/>
        </w:rPr>
        <w:t xml:space="preserve">Reference: Electronic Drug Tariff </w:t>
      </w:r>
      <w:r w:rsidR="00F12DC4">
        <w:rPr>
          <w:sz w:val="24"/>
          <w:szCs w:val="24"/>
        </w:rPr>
        <w:t>Feb 2025</w:t>
      </w:r>
    </w:p>
    <w:p w14:paraId="374206DB" w14:textId="77777777" w:rsidR="006131AB" w:rsidRPr="00E34E74" w:rsidRDefault="006131AB" w:rsidP="0019701D">
      <w:pPr>
        <w:rPr>
          <w:rFonts w:ascii="Arial" w:hAnsi="Arial" w:cs="Arial"/>
          <w:sz w:val="4"/>
          <w:szCs w:val="4"/>
        </w:rPr>
      </w:pPr>
    </w:p>
    <w:sectPr w:rsidR="006131AB" w:rsidRPr="00E34E74" w:rsidSect="0095406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A95B" w14:textId="77777777" w:rsidR="009C153B" w:rsidRDefault="009C153B" w:rsidP="00954060">
      <w:pPr>
        <w:spacing w:after="0" w:line="240" w:lineRule="auto"/>
      </w:pPr>
      <w:r>
        <w:separator/>
      </w:r>
    </w:p>
  </w:endnote>
  <w:endnote w:type="continuationSeparator" w:id="0">
    <w:p w14:paraId="46DC0C6F" w14:textId="77777777" w:rsidR="009C153B" w:rsidRDefault="009C153B" w:rsidP="0095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0151" w14:textId="77777777" w:rsidR="00F12DC4" w:rsidRDefault="00F1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B77D" w14:textId="77777777" w:rsidR="002A69A9" w:rsidRPr="002A69A9" w:rsidRDefault="002A69A9" w:rsidP="002A69A9">
    <w:pPr>
      <w:pStyle w:val="Footer"/>
    </w:pPr>
    <w:r w:rsidRPr="00E34E74">
      <w:rPr>
        <w:noProof/>
        <w:sz w:val="20"/>
        <w:szCs w:val="20"/>
        <w:lang w:eastAsia="en-GB"/>
      </w:rPr>
      <w:drawing>
        <wp:anchor distT="0" distB="0" distL="114300" distR="114300" simplePos="0" relativeHeight="251670016" behindDoc="0" locked="0" layoutInCell="1" allowOverlap="1" wp14:anchorId="5094E618" wp14:editId="7B4C0D71">
          <wp:simplePos x="0" y="0"/>
          <wp:positionH relativeFrom="column">
            <wp:posOffset>-580159</wp:posOffset>
          </wp:positionH>
          <wp:positionV relativeFrom="paragraph">
            <wp:posOffset>292100</wp:posOffset>
          </wp:positionV>
          <wp:extent cx="4572009" cy="374905"/>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pporting-Health-and-Wellbeing-Colour-1500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9" cy="374905"/>
                  </a:xfrm>
                  <a:prstGeom prst="rect">
                    <a:avLst/>
                  </a:prstGeom>
                </pic:spPr>
              </pic:pic>
            </a:graphicData>
          </a:graphic>
        </wp:anchor>
      </w:drawing>
    </w:r>
    <w:r w:rsidR="0019701D">
      <w:rPr>
        <w:b/>
        <w:sz w:val="20"/>
        <w:szCs w:val="20"/>
      </w:rPr>
      <w:t>Guidelines produced Nov</w:t>
    </w:r>
    <w:r w:rsidRPr="00E34E74">
      <w:rPr>
        <w:b/>
        <w:sz w:val="20"/>
        <w:szCs w:val="20"/>
      </w:rPr>
      <w:t xml:space="preserve"> 2009.  </w:t>
    </w:r>
    <w:r w:rsidR="00F12DC4">
      <w:rPr>
        <w:b/>
        <w:sz w:val="20"/>
        <w:szCs w:val="20"/>
      </w:rPr>
      <w:t>Next review date: Feb 2028</w:t>
    </w:r>
    <w:r w:rsidR="00E34E74">
      <w:rPr>
        <w:b/>
        <w:sz w:val="20"/>
        <w:szCs w:val="20"/>
      </w:rPr>
      <w:t>.</w:t>
    </w:r>
    <w:r w:rsidRPr="0056575D">
      <w:rPr>
        <w:b/>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4116A">
      <w:rPr>
        <w:rStyle w:val="PageNumber"/>
        <w:noProof/>
      </w:rPr>
      <w:t>3</w:t>
    </w:r>
    <w:r>
      <w:rPr>
        <w:rStyle w:val="PageNumber"/>
      </w:rPr>
      <w:fldChar w:fldCharType="end"/>
    </w:r>
  </w:p>
  <w:p w14:paraId="4276FF6E" w14:textId="77777777" w:rsidR="002A69A9" w:rsidRDefault="002A69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9CB5" w14:textId="77777777" w:rsidR="00F12DC4" w:rsidRDefault="00F12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E561" w14:textId="77777777" w:rsidR="009C153B" w:rsidRDefault="009C153B" w:rsidP="00954060">
      <w:pPr>
        <w:spacing w:after="0" w:line="240" w:lineRule="auto"/>
      </w:pPr>
      <w:r>
        <w:separator/>
      </w:r>
    </w:p>
  </w:footnote>
  <w:footnote w:type="continuationSeparator" w:id="0">
    <w:p w14:paraId="0E3AFA8F" w14:textId="77777777" w:rsidR="009C153B" w:rsidRDefault="009C153B" w:rsidP="00954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4B5C" w14:textId="77777777" w:rsidR="00F12DC4" w:rsidRDefault="00F12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8A6F" w14:textId="77777777" w:rsidR="002A69A9" w:rsidRPr="002A69A9" w:rsidRDefault="002A69A9" w:rsidP="002A69A9">
    <w:pPr>
      <w:jc w:val="center"/>
      <w:rPr>
        <w:b/>
        <w:sz w:val="28"/>
      </w:rPr>
    </w:pPr>
    <w:r>
      <w:rPr>
        <w:noProof/>
        <w:lang w:eastAsia="en-GB"/>
      </w:rPr>
      <w:drawing>
        <wp:anchor distT="0" distB="0" distL="114300" distR="114300" simplePos="0" relativeHeight="251657216" behindDoc="1" locked="0" layoutInCell="1" allowOverlap="1" wp14:anchorId="16037D80" wp14:editId="1EF24D87">
          <wp:simplePos x="0" y="0"/>
          <wp:positionH relativeFrom="column">
            <wp:posOffset>4793673</wp:posOffset>
          </wp:positionH>
          <wp:positionV relativeFrom="paragraph">
            <wp:posOffset>-124667</wp:posOffset>
          </wp:positionV>
          <wp:extent cx="1412932" cy="90621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Lancashire and South Cumbria NHS FT Right-Align-Blue.png"/>
                  <pic:cNvPicPr/>
                </pic:nvPicPr>
                <pic:blipFill rotWithShape="1">
                  <a:blip r:embed="rId1" cstate="print">
                    <a:extLst>
                      <a:ext uri="{28A0092B-C50C-407E-A947-70E740481C1C}">
                        <a14:useLocalDpi xmlns:a14="http://schemas.microsoft.com/office/drawing/2010/main" val="0"/>
                      </a:ext>
                    </a:extLst>
                  </a:blip>
                  <a:srcRect l="52453" b="53685"/>
                  <a:stretch/>
                </pic:blipFill>
                <pic:spPr bwMode="auto">
                  <a:xfrm>
                    <a:off x="0" y="0"/>
                    <a:ext cx="1415226" cy="90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69A9">
      <w:rPr>
        <w:b/>
        <w:sz w:val="28"/>
      </w:rPr>
      <w:t>Guidelines for the Prescribing of</w:t>
    </w:r>
  </w:p>
  <w:p w14:paraId="73136896" w14:textId="77777777" w:rsidR="002A69A9" w:rsidRDefault="002A69A9" w:rsidP="002A69A9">
    <w:pPr>
      <w:jc w:val="center"/>
      <w:rPr>
        <w:b/>
        <w:sz w:val="28"/>
      </w:rPr>
    </w:pPr>
    <w:r w:rsidRPr="002A69A9">
      <w:rPr>
        <w:b/>
        <w:sz w:val="28"/>
      </w:rPr>
      <w:t>AGOMELATINE</w:t>
    </w:r>
  </w:p>
  <w:p w14:paraId="4AA03F66" w14:textId="77777777" w:rsidR="00954060" w:rsidRDefault="00954060" w:rsidP="009540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229C" w14:textId="77777777" w:rsidR="00F12DC4" w:rsidRDefault="00F12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A5E0E"/>
    <w:multiLevelType w:val="hybridMultilevel"/>
    <w:tmpl w:val="D518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67264"/>
    <w:multiLevelType w:val="hybridMultilevel"/>
    <w:tmpl w:val="0C487D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304FF7"/>
    <w:multiLevelType w:val="hybridMultilevel"/>
    <w:tmpl w:val="E9503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6C36B0"/>
    <w:multiLevelType w:val="hybridMultilevel"/>
    <w:tmpl w:val="6F3A68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9187320">
    <w:abstractNumId w:val="0"/>
  </w:num>
  <w:num w:numId="2" w16cid:durableId="592588717">
    <w:abstractNumId w:val="2"/>
  </w:num>
  <w:num w:numId="3" w16cid:durableId="398212400">
    <w:abstractNumId w:val="3"/>
  </w:num>
  <w:num w:numId="4" w16cid:durableId="9902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60"/>
    <w:rsid w:val="000637C2"/>
    <w:rsid w:val="000B5527"/>
    <w:rsid w:val="00187157"/>
    <w:rsid w:val="0019701D"/>
    <w:rsid w:val="001E4D85"/>
    <w:rsid w:val="002A69A9"/>
    <w:rsid w:val="002E503A"/>
    <w:rsid w:val="00300C83"/>
    <w:rsid w:val="0032544E"/>
    <w:rsid w:val="003F6964"/>
    <w:rsid w:val="004576C8"/>
    <w:rsid w:val="00471696"/>
    <w:rsid w:val="005202E3"/>
    <w:rsid w:val="006131AB"/>
    <w:rsid w:val="006812FD"/>
    <w:rsid w:val="008038D6"/>
    <w:rsid w:val="00822D29"/>
    <w:rsid w:val="00844CFD"/>
    <w:rsid w:val="00847623"/>
    <w:rsid w:val="00954060"/>
    <w:rsid w:val="009849FE"/>
    <w:rsid w:val="00995F63"/>
    <w:rsid w:val="009C153B"/>
    <w:rsid w:val="00A242E9"/>
    <w:rsid w:val="00A77939"/>
    <w:rsid w:val="00B507A0"/>
    <w:rsid w:val="00C14275"/>
    <w:rsid w:val="00D4116A"/>
    <w:rsid w:val="00E14A34"/>
    <w:rsid w:val="00E17873"/>
    <w:rsid w:val="00E31462"/>
    <w:rsid w:val="00E34E74"/>
    <w:rsid w:val="00ED7A90"/>
    <w:rsid w:val="00F12DC4"/>
    <w:rsid w:val="00F56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AB580"/>
  <w15:chartTrackingRefBased/>
  <w15:docId w15:val="{22C55B72-5E0F-4666-BD75-754F610B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6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060"/>
  </w:style>
  <w:style w:type="paragraph" w:styleId="Footer">
    <w:name w:val="footer"/>
    <w:basedOn w:val="Normal"/>
    <w:link w:val="FooterChar"/>
    <w:unhideWhenUsed/>
    <w:rsid w:val="00954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060"/>
  </w:style>
  <w:style w:type="paragraph" w:styleId="BodyText2">
    <w:name w:val="Body Text 2"/>
    <w:basedOn w:val="Normal"/>
    <w:link w:val="BodyText2Char"/>
    <w:rsid w:val="002A69A9"/>
    <w:pPr>
      <w:spacing w:after="0" w:line="240" w:lineRule="auto"/>
      <w:jc w:val="both"/>
    </w:pPr>
    <w:rPr>
      <w:rFonts w:ascii="Arial" w:eastAsia="Times New Roman" w:hAnsi="Arial" w:cs="Arial"/>
      <w:b/>
      <w:sz w:val="24"/>
      <w:szCs w:val="24"/>
    </w:rPr>
  </w:style>
  <w:style w:type="character" w:customStyle="1" w:styleId="BodyText2Char">
    <w:name w:val="Body Text 2 Char"/>
    <w:basedOn w:val="DefaultParagraphFont"/>
    <w:link w:val="BodyText2"/>
    <w:rsid w:val="002A69A9"/>
    <w:rPr>
      <w:rFonts w:ascii="Arial" w:eastAsia="Times New Roman" w:hAnsi="Arial" w:cs="Arial"/>
      <w:b/>
      <w:sz w:val="24"/>
      <w:szCs w:val="24"/>
    </w:rPr>
  </w:style>
  <w:style w:type="character" w:styleId="PageNumber">
    <w:name w:val="page number"/>
    <w:basedOn w:val="DefaultParagraphFont"/>
    <w:rsid w:val="002A69A9"/>
  </w:style>
  <w:style w:type="character" w:customStyle="1" w:styleId="Heading1Char">
    <w:name w:val="Heading 1 Char"/>
    <w:basedOn w:val="DefaultParagraphFont"/>
    <w:link w:val="Heading1"/>
    <w:uiPriority w:val="9"/>
    <w:rsid w:val="002A69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A69A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A69A9"/>
    <w:pPr>
      <w:ind w:left="720"/>
      <w:contextualSpacing/>
    </w:pPr>
  </w:style>
  <w:style w:type="table" w:styleId="TableGrid">
    <w:name w:val="Table Grid"/>
    <w:basedOn w:val="TableNormal"/>
    <w:uiPriority w:val="39"/>
    <w:rsid w:val="002A6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C83"/>
    <w:rPr>
      <w:color w:val="0563C1" w:themeColor="hyperlink"/>
      <w:u w:val="single"/>
    </w:rPr>
  </w:style>
  <w:style w:type="paragraph" w:styleId="NormalWeb">
    <w:name w:val="Normal (Web)"/>
    <w:basedOn w:val="Normal"/>
    <w:uiPriority w:val="99"/>
    <w:semiHidden/>
    <w:unhideWhenUsed/>
    <w:rsid w:val="00F56C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2931">
      <w:bodyDiv w:val="1"/>
      <w:marLeft w:val="0"/>
      <w:marRight w:val="0"/>
      <w:marTop w:val="0"/>
      <w:marBottom w:val="0"/>
      <w:divBdr>
        <w:top w:val="none" w:sz="0" w:space="0" w:color="auto"/>
        <w:left w:val="none" w:sz="0" w:space="0" w:color="auto"/>
        <w:bottom w:val="none" w:sz="0" w:space="0" w:color="auto"/>
        <w:right w:val="none" w:sz="0" w:space="0" w:color="auto"/>
      </w:divBdr>
    </w:div>
    <w:div w:id="14243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lct-fsclusers/users/lcft/david.greenwood/My%20Documents/Policies-Procedures-Protocols/www.medicines.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8E07B1B4F229429D1DADD7906076C4" ma:contentTypeVersion="9" ma:contentTypeDescription="Create a new document." ma:contentTypeScope="" ma:versionID="19deadc519bdd6c6a926bd89613ce973">
  <xsd:schema xmlns:xsd="http://www.w3.org/2001/XMLSchema" xmlns:xs="http://www.w3.org/2001/XMLSchema" xmlns:p="http://schemas.microsoft.com/office/2006/metadata/properties" xmlns:ns1="http://schemas.microsoft.com/sharepoint/v3" xmlns:ns2="33e0186f-1ed6-4aeb-a977-942b47fc945b" targetNamespace="http://schemas.microsoft.com/office/2006/metadata/properties" ma:root="true" ma:fieldsID="a722007938b526561650d8edefa5422f" ns1:_="" ns2:_="">
    <xsd:import namespace="http://schemas.microsoft.com/sharepoint/v3"/>
    <xsd:import namespace="33e0186f-1ed6-4aeb-a977-942b47fc9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186f-1ed6-4aeb-a977-942b47fc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72EC2-6E7B-4D65-9BA3-746631F162B9}">
  <ds:schemaRefs>
    <ds:schemaRef ds:uri="http://schemas.microsoft.com/office/2006/metadata/properties"/>
    <ds:schemaRef ds:uri="http://schemas.microsoft.com/office/infopath/2007/PartnerControls"/>
    <ds:schemaRef ds:uri="8b4b8ab4-dc68-4181-bec1-e4c4b5449459"/>
    <ds:schemaRef ds:uri="http://schemas.microsoft.com/sharepoint/v3"/>
  </ds:schemaRefs>
</ds:datastoreItem>
</file>

<file path=customXml/itemProps2.xml><?xml version="1.0" encoding="utf-8"?>
<ds:datastoreItem xmlns:ds="http://schemas.openxmlformats.org/officeDocument/2006/customXml" ds:itemID="{7A674FD3-2BF6-4C4B-985C-A69E3B51048A}">
  <ds:schemaRefs>
    <ds:schemaRef ds:uri="http://schemas.microsoft.com/sharepoint/v3/contenttype/forms"/>
  </ds:schemaRefs>
</ds:datastoreItem>
</file>

<file path=customXml/itemProps3.xml><?xml version="1.0" encoding="utf-8"?>
<ds:datastoreItem xmlns:ds="http://schemas.openxmlformats.org/officeDocument/2006/customXml" ds:itemID="{38D3F022-5304-41F8-B305-C390EA67C76C}">
  <ds:schemaRefs>
    <ds:schemaRef ds:uri="http://schemas.openxmlformats.org/officeDocument/2006/bibliography"/>
  </ds:schemaRefs>
</ds:datastoreItem>
</file>

<file path=customXml/itemProps4.xml><?xml version="1.0" encoding="utf-8"?>
<ds:datastoreItem xmlns:ds="http://schemas.openxmlformats.org/officeDocument/2006/customXml" ds:itemID="{5B10D9AA-1052-490C-A422-8DBDA0C5D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186f-1ed6-4aeb-a977-942b47fc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A4 Word Document Template Colour</vt:lpstr>
    </vt:vector>
  </TitlesOfParts>
  <Company>Lancashire Care NHS Foundation Trust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Word Document Template Colour</dc:title>
  <dc:subject/>
  <dc:creator>MacLachlan James (LCFT)</dc:creator>
  <cp:keywords/>
  <dc:description/>
  <cp:lastModifiedBy>CROUCH, Tabitha (NHS LANCASHIRE AND SOUTH CUMBRIA ICB - 02M)</cp:lastModifiedBy>
  <cp:revision>2</cp:revision>
  <dcterms:created xsi:type="dcterms:W3CDTF">2025-11-19T11:39:00Z</dcterms:created>
  <dcterms:modified xsi:type="dcterms:W3CDTF">2025-11-19T11:39:00Z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0x0101001A8E07B1B4F229429D1DADD7906076C4</vt:lpwstr>
  </property>
  <property fmtid="{D5CDD505-2E9C-101B-9397-08002B2CF9AE}" pid="3" name="_dlc_DocIdItemGuid">
    <vt:lpwstr>0dcd29fe-85c1-48f6-931a-1466a2937ad9</vt:lpwstr>
  </property>
  <property fmtid="{D5CDD505-2E9C-101B-9397-08002B2CF9AE}" pid="4" name="docLang">
    <vt:lpwstr>en</vt:lpwstr>
  </property>
</Properties>
</file>